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0DD3" w14:textId="77777777" w:rsidR="00F738CC" w:rsidRPr="00F738CC" w:rsidRDefault="00F738CC" w:rsidP="00F738CC">
      <w:pPr>
        <w:pStyle w:val="Nadpis2"/>
        <w:ind w:firstLine="708"/>
        <w:jc w:val="center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bookmarkStart w:id="0" w:name="_Hlk201652919"/>
      <w:r w:rsidRPr="00F738CC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Jaké zásadní změny přináší </w:t>
      </w:r>
      <w:proofErr w:type="spellStart"/>
      <w:r w:rsidRPr="00F738CC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flexinovela</w:t>
      </w:r>
      <w:proofErr w:type="spellEnd"/>
      <w:r w:rsidRPr="00F738CC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od 1.6.2025</w:t>
      </w:r>
      <w:bookmarkEnd w:id="0"/>
    </w:p>
    <w:p w14:paraId="02EB78F7" w14:textId="77777777" w:rsidR="00F738CC" w:rsidRDefault="00F738CC" w:rsidP="00F738CC">
      <w:pPr>
        <w:pStyle w:val="Nadpis2"/>
        <w:rPr>
          <w:rFonts w:ascii="Arial" w:hAnsi="Arial" w:cs="Arial"/>
          <w:b/>
          <w:bCs/>
          <w:sz w:val="24"/>
          <w:szCs w:val="24"/>
        </w:rPr>
      </w:pPr>
    </w:p>
    <w:p w14:paraId="72679926" w14:textId="2FEF1AFF" w:rsidR="00CE3758" w:rsidRDefault="00CE3758" w:rsidP="00F738CC">
      <w:pPr>
        <w:pStyle w:val="Nadpis2"/>
      </w:pPr>
      <w:r>
        <w:t>Zkušební doba</w:t>
      </w:r>
    </w:p>
    <w:p w14:paraId="0B6B454A" w14:textId="480B9EF8" w:rsidR="00CE3758" w:rsidRDefault="00CE3758" w:rsidP="00261E65">
      <w:pPr>
        <w:pStyle w:val="Default"/>
        <w:numPr>
          <w:ilvl w:val="0"/>
          <w:numId w:val="1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Maximální délka se zvyšuje u běžných zaměstnanců ze 3 na 4 měsíce a u vedoucích zaměstnanců ze 6 na 8 měsíců. </w:t>
      </w:r>
    </w:p>
    <w:p w14:paraId="2D4DCC60" w14:textId="4DF1726E" w:rsidR="00CE3758" w:rsidRDefault="00CE3758" w:rsidP="00261E65">
      <w:pPr>
        <w:pStyle w:val="Default"/>
        <w:numPr>
          <w:ilvl w:val="0"/>
          <w:numId w:val="1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Zpřesňují se pravidla prodlužování zkušební doby ze zákona v případě celé neodpracované denní směny (nově například výslovně i o neomluvenou absenci). </w:t>
      </w:r>
    </w:p>
    <w:p w14:paraId="1CA643F6" w14:textId="105DB996" w:rsidR="00CE3758" w:rsidRDefault="00CE3758" w:rsidP="009B7091">
      <w:pPr>
        <w:pStyle w:val="Nadpis2"/>
        <w:spacing w:line="276" w:lineRule="auto"/>
      </w:pPr>
      <w:r>
        <w:t xml:space="preserve">Pracovní poměr na dobu určitou u tzv. zástupů </w:t>
      </w:r>
    </w:p>
    <w:p w14:paraId="3189F9FA" w14:textId="42BFC01A" w:rsidR="00CE3758" w:rsidRDefault="00CE3758" w:rsidP="00261E65">
      <w:pPr>
        <w:pStyle w:val="Default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Zavádí se výjimka z limitu počtu opakování pracovních poměrů na dobu určitou u tzv. zástupů za zaměstnance na mateřské, otcovské, rodičovské dovolené nebo dovolené čerpané mezi nimi. </w:t>
      </w:r>
    </w:p>
    <w:p w14:paraId="1547BBD9" w14:textId="71BCC752" w:rsidR="00CE3758" w:rsidRDefault="00CE3758" w:rsidP="00261E65">
      <w:pPr>
        <w:pStyle w:val="Default"/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Nově je možné prodlužovat i více jak 2x, avšak stále platí maximální souhrnný limit 9 let. </w:t>
      </w:r>
    </w:p>
    <w:p w14:paraId="7BFE2701" w14:textId="2667092F" w:rsidR="00CE3758" w:rsidRDefault="00CE3758" w:rsidP="009B7091">
      <w:pPr>
        <w:pStyle w:val="Nadpis2"/>
        <w:spacing w:line="276" w:lineRule="auto"/>
      </w:pPr>
      <w:r>
        <w:t xml:space="preserve">Běh výpovědní doby </w:t>
      </w:r>
    </w:p>
    <w:p w14:paraId="602B53E3" w14:textId="58C50DBC" w:rsidR="00CE3758" w:rsidRDefault="00CE3758" w:rsidP="00CE3758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Nově výpovědní doba začne běžet již ode dne, kdy je výpověď doručena, a končí dnem, jehož číselné označení je shodné se dnem doručení výpovědi. </w:t>
      </w:r>
    </w:p>
    <w:p w14:paraId="793E157C" w14:textId="500FBE41" w:rsidR="00CE3758" w:rsidRPr="00CE3758" w:rsidRDefault="00CE3758" w:rsidP="009B7091">
      <w:pPr>
        <w:pStyle w:val="Nadpis2"/>
        <w:spacing w:line="276" w:lineRule="auto"/>
      </w:pPr>
      <w:r w:rsidRPr="00CE3758">
        <w:t xml:space="preserve">Kratší výpovědní doba u výpovědí dle § 52 písm. f), g) a h) </w:t>
      </w:r>
    </w:p>
    <w:p w14:paraId="5DCB3712" w14:textId="2307309B" w:rsidR="00CE3758" w:rsidRDefault="00CE3758" w:rsidP="00CE375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Dochází ke zkrácení minimální délky výpovědní doby na 1 měsíc u výpovědních důvodů pro porušení či porušování povinností, nesplňování předpokladů či požadavků, nespokojivé pracovní výsledky či porušení režimu dočasně práce neschopného zaměstnance. </w:t>
      </w:r>
    </w:p>
    <w:p w14:paraId="580CA5A6" w14:textId="0C36A79B" w:rsidR="00CE3758" w:rsidRDefault="00CE3758" w:rsidP="00CE3758">
      <w:pPr>
        <w:pStyle w:val="Nadpis2"/>
      </w:pPr>
      <w:r>
        <w:t xml:space="preserve">Úprava výpovědních důvodu pro ztrátu zdravotní způsobilosti </w:t>
      </w:r>
    </w:p>
    <w:p w14:paraId="783BB1A9" w14:textId="7DBD1511" w:rsidR="00CE3758" w:rsidRDefault="00CE3758" w:rsidP="00CE3758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Nově je dlouhodobé pozbytí zdravotní způsobilosti podřazeno pod výpovědní důvod podle písm. d) a zaměstnavatel nemusí ve výpovědi popisovat příčinu ztráty zdravotní způsobilosti. </w:t>
      </w:r>
    </w:p>
    <w:p w14:paraId="251B90DD" w14:textId="45270D9D" w:rsidR="00CE3758" w:rsidRDefault="00CE3758" w:rsidP="00CE3758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Samostatně je nově pod písm. e) specifikován výpovědní důvod týkající se dosažení nejvyšší přípustné expozice na pracovišti. Zde náleží stále odstupné 12 průměrných měsíčních výdělků. </w:t>
      </w:r>
    </w:p>
    <w:p w14:paraId="547B9F52" w14:textId="20C3C60E" w:rsidR="00CE3758" w:rsidRDefault="00CE3758" w:rsidP="00CE3758">
      <w:pPr>
        <w:pStyle w:val="Nadpis2"/>
      </w:pPr>
      <w:r>
        <w:t xml:space="preserve">Prodloužení lhůt pro uplatnění důvodu k ukončení pracovního poměru </w:t>
      </w:r>
    </w:p>
    <w:p w14:paraId="236606BC" w14:textId="77777777" w:rsidR="00CE3758" w:rsidRDefault="00CE3758" w:rsidP="006A2C9F">
      <w:pPr>
        <w:pStyle w:val="Odstavecseseznamem"/>
        <w:numPr>
          <w:ilvl w:val="0"/>
          <w:numId w:val="3"/>
        </w:numPr>
      </w:pPr>
      <w:r>
        <w:t xml:space="preserve">Dochází k prodloužení lhůt, během kterých může zaměstnavatel dát zaměstnanci výpověď pro porušení povinností nebo okamžitě zrušit pracovní poměr. </w:t>
      </w:r>
    </w:p>
    <w:p w14:paraId="0C068CCA" w14:textId="65824E3B" w:rsidR="00CE3758" w:rsidRDefault="00CE3758" w:rsidP="009336C6">
      <w:pPr>
        <w:pStyle w:val="Odstavecseseznamem"/>
        <w:numPr>
          <w:ilvl w:val="0"/>
          <w:numId w:val="3"/>
        </w:numPr>
        <w:spacing w:after="0"/>
      </w:pPr>
      <w:r w:rsidRPr="00CE3758">
        <w:t xml:space="preserve">Subjektivní lhůta je prodloužena ze 2 na 3 měsíce, objektivní pak z 12 měsíců na 15 měsíců. </w:t>
      </w:r>
    </w:p>
    <w:p w14:paraId="7253E258" w14:textId="77777777" w:rsidR="00CE3758" w:rsidRDefault="00CE3758" w:rsidP="009B7091">
      <w:pPr>
        <w:pStyle w:val="Nadpis2"/>
        <w:spacing w:line="276" w:lineRule="auto"/>
      </w:pPr>
      <w:r>
        <w:t xml:space="preserve">Náhrada nevyčerpané dovolené při neplatném ukončení pracovního poměru </w:t>
      </w:r>
    </w:p>
    <w:p w14:paraId="09885823" w14:textId="255606D4" w:rsidR="009B7091" w:rsidRDefault="00CE3758" w:rsidP="002E7B0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9B7091">
        <w:rPr>
          <w:sz w:val="22"/>
          <w:szCs w:val="22"/>
        </w:rPr>
        <w:t xml:space="preserve">Zaměstnanci bude ve stanovených případech vedle náhrady mzdy nebo platu má náležet i náhrada za nevyčerpanou dovolenou. </w:t>
      </w:r>
    </w:p>
    <w:p w14:paraId="08C561EE" w14:textId="47C5C7A1" w:rsidR="009B7091" w:rsidRPr="009B7091" w:rsidRDefault="009B7091" w:rsidP="009B7091">
      <w:pPr>
        <w:pStyle w:val="Nadpis2"/>
        <w:spacing w:line="276" w:lineRule="auto"/>
        <w:rPr>
          <w:rStyle w:val="Siln"/>
          <w:b w:val="0"/>
          <w:bCs w:val="0"/>
        </w:rPr>
      </w:pPr>
      <w:r w:rsidRPr="009B7091">
        <w:rPr>
          <w:rStyle w:val="Siln"/>
          <w:b w:val="0"/>
          <w:bCs w:val="0"/>
        </w:rPr>
        <w:t>Bezprostředně navazující pracovní poměr</w:t>
      </w:r>
    </w:p>
    <w:p w14:paraId="5496C40B" w14:textId="77777777" w:rsidR="009B7091" w:rsidRDefault="009B7091" w:rsidP="00292335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B7091">
        <w:rPr>
          <w:rStyle w:val="Siln"/>
          <w:rFonts w:cstheme="minorHAnsi"/>
          <w:b w:val="0"/>
          <w:bCs w:val="0"/>
        </w:rPr>
        <w:t>Dovolenou nelze proplatit</w:t>
      </w:r>
      <w:r w:rsidRPr="009B7091">
        <w:rPr>
          <w:rFonts w:cstheme="minorHAnsi"/>
        </w:rPr>
        <w:t xml:space="preserve">, pokud DPP </w:t>
      </w:r>
      <w:r w:rsidRPr="009B7091">
        <w:rPr>
          <w:rStyle w:val="Siln"/>
          <w:rFonts w:cstheme="minorHAnsi"/>
          <w:b w:val="0"/>
          <w:bCs w:val="0"/>
        </w:rPr>
        <w:t>bezprostředně přechází</w:t>
      </w:r>
      <w:r w:rsidRPr="009B7091">
        <w:rPr>
          <w:rFonts w:cstheme="minorHAnsi"/>
        </w:rPr>
        <w:t xml:space="preserve"> v pracovní poměr – vztahy se považují za </w:t>
      </w:r>
      <w:r w:rsidRPr="009B7091">
        <w:rPr>
          <w:rStyle w:val="Siln"/>
          <w:rFonts w:cstheme="minorHAnsi"/>
          <w:b w:val="0"/>
          <w:bCs w:val="0"/>
        </w:rPr>
        <w:t>nepřerušené</w:t>
      </w:r>
      <w:r w:rsidRPr="009B7091">
        <w:rPr>
          <w:rFonts w:cstheme="minorHAnsi"/>
        </w:rPr>
        <w:t xml:space="preserve">, a dovolená se </w:t>
      </w:r>
      <w:r w:rsidRPr="009B7091">
        <w:rPr>
          <w:rStyle w:val="Siln"/>
          <w:rFonts w:cstheme="minorHAnsi"/>
          <w:b w:val="0"/>
          <w:bCs w:val="0"/>
        </w:rPr>
        <w:t>převádí</w:t>
      </w:r>
      <w:r w:rsidRPr="009B7091">
        <w:rPr>
          <w:rFonts w:cstheme="minorHAnsi"/>
        </w:rPr>
        <w:t xml:space="preserve">. </w:t>
      </w:r>
    </w:p>
    <w:p w14:paraId="63C22C6A" w14:textId="77777777" w:rsidR="009B7091" w:rsidRPr="009B7091" w:rsidRDefault="009B7091" w:rsidP="009336C6">
      <w:pPr>
        <w:pStyle w:val="Odstavecseseznamem"/>
        <w:numPr>
          <w:ilvl w:val="0"/>
          <w:numId w:val="3"/>
        </w:numPr>
        <w:spacing w:after="0" w:line="240" w:lineRule="auto"/>
      </w:pPr>
      <w:r w:rsidRPr="009B7091">
        <w:rPr>
          <w:rFonts w:cstheme="minorHAnsi"/>
        </w:rPr>
        <w:t>P</w:t>
      </w:r>
      <w:r w:rsidR="00261E65" w:rsidRPr="009B7091">
        <w:rPr>
          <w:rFonts w:cstheme="minorHAnsi"/>
        </w:rPr>
        <w:t xml:space="preserve">odle § 216 odst. 1 ZP se za </w:t>
      </w:r>
      <w:r w:rsidR="00261E65" w:rsidRPr="009B7091">
        <w:rPr>
          <w:rStyle w:val="Siln"/>
          <w:rFonts w:cstheme="minorHAnsi"/>
          <w:b w:val="0"/>
          <w:bCs w:val="0"/>
        </w:rPr>
        <w:t>nepřetržité trvání základního pracovněprávního vztahu</w:t>
      </w:r>
      <w:r w:rsidR="00261E65" w:rsidRPr="009B7091">
        <w:rPr>
          <w:rFonts w:cstheme="minorHAnsi"/>
        </w:rPr>
        <w:t xml:space="preserve"> považuje i bezprostředně navazující </w:t>
      </w:r>
      <w:r w:rsidR="00261E65" w:rsidRPr="009B7091">
        <w:rPr>
          <w:rStyle w:val="Siln"/>
          <w:rFonts w:cstheme="minorHAnsi"/>
          <w:b w:val="0"/>
          <w:bCs w:val="0"/>
        </w:rPr>
        <w:t>jiný</w:t>
      </w:r>
      <w:r w:rsidR="00261E65" w:rsidRPr="009B7091">
        <w:rPr>
          <w:rFonts w:cstheme="minorHAnsi"/>
        </w:rPr>
        <w:t xml:space="preserve"> základní vztah (např. DPP → pracovní poměr)</w:t>
      </w:r>
      <w:r w:rsidRPr="009B7091">
        <w:rPr>
          <w:rFonts w:cstheme="minorHAnsi"/>
        </w:rPr>
        <w:t>.</w:t>
      </w:r>
    </w:p>
    <w:p w14:paraId="711A5C44" w14:textId="7594AD1D" w:rsidR="00CE3758" w:rsidRDefault="00CE3758" w:rsidP="009B7091">
      <w:pPr>
        <w:pStyle w:val="Nadpis2"/>
      </w:pPr>
      <w:r>
        <w:t xml:space="preserve">Mzdový výměr a jeho doručování </w:t>
      </w:r>
    </w:p>
    <w:p w14:paraId="4923C906" w14:textId="05324B0E" w:rsidR="00CE3758" w:rsidRDefault="00CE3758" w:rsidP="00CE3758">
      <w:pPr>
        <w:pStyle w:val="Odstavecseseznamem"/>
        <w:numPr>
          <w:ilvl w:val="0"/>
          <w:numId w:val="3"/>
        </w:numPr>
      </w:pPr>
      <w:r>
        <w:t>Zaměstnanec musí od zaměstnavatele obdržet mzdový výměr před začátkem výkonu práce podle nových mzdových podmínek, nikoli první den výkonu práce.</w:t>
      </w:r>
    </w:p>
    <w:p w14:paraId="757237BD" w14:textId="77777777" w:rsidR="00CE3758" w:rsidRPr="00CE3758" w:rsidRDefault="00CE3758" w:rsidP="00CE37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E3758">
        <w:rPr>
          <w:rFonts w:cstheme="minorHAnsi"/>
          <w:color w:val="000000"/>
          <w:sz w:val="20"/>
          <w:szCs w:val="20"/>
        </w:rPr>
        <w:t xml:space="preserve">Stanovují se nové podmínky elektronického doručování mzdového výměru: </w:t>
      </w:r>
    </w:p>
    <w:p w14:paraId="39D15415" w14:textId="10225BC1" w:rsidR="00CE3758" w:rsidRPr="00CE3758" w:rsidRDefault="00CE3758" w:rsidP="00CE37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39" w:line="240" w:lineRule="auto"/>
        <w:rPr>
          <w:rFonts w:cstheme="minorHAnsi"/>
          <w:color w:val="000000"/>
          <w:sz w:val="20"/>
          <w:szCs w:val="20"/>
        </w:rPr>
      </w:pPr>
      <w:r w:rsidRPr="00CE3758">
        <w:rPr>
          <w:rFonts w:cstheme="minorHAnsi"/>
          <w:color w:val="000000"/>
          <w:sz w:val="20"/>
          <w:szCs w:val="20"/>
        </w:rPr>
        <w:t xml:space="preserve">musí být podepsán kvalifikovaným elektronickým podpisem zaměstnavatele; </w:t>
      </w:r>
    </w:p>
    <w:p w14:paraId="2E937E60" w14:textId="01AB63C9" w:rsidR="00CE3758" w:rsidRPr="00CE3758" w:rsidRDefault="00CE3758" w:rsidP="00CE37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39" w:line="240" w:lineRule="auto"/>
        <w:rPr>
          <w:rFonts w:cstheme="minorHAnsi"/>
          <w:color w:val="000000"/>
          <w:sz w:val="20"/>
          <w:szCs w:val="20"/>
        </w:rPr>
      </w:pPr>
      <w:r w:rsidRPr="00CE3758">
        <w:rPr>
          <w:rFonts w:cstheme="minorHAnsi"/>
          <w:color w:val="000000"/>
          <w:sz w:val="20"/>
          <w:szCs w:val="20"/>
        </w:rPr>
        <w:t xml:space="preserve">může být doručován i na pracovní e-mailovou adresu a není třeba souhlasu zaměstnance s jeho elektronickým doručováním; </w:t>
      </w:r>
    </w:p>
    <w:p w14:paraId="6B63ED0F" w14:textId="2F5609C8" w:rsidR="00CE3758" w:rsidRPr="00CE3758" w:rsidRDefault="00CE3758" w:rsidP="00CE37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39" w:line="240" w:lineRule="auto"/>
        <w:rPr>
          <w:rFonts w:cstheme="minorHAnsi"/>
          <w:color w:val="000000"/>
          <w:sz w:val="20"/>
          <w:szCs w:val="20"/>
        </w:rPr>
      </w:pPr>
      <w:r w:rsidRPr="00CE3758">
        <w:rPr>
          <w:rFonts w:cstheme="minorHAnsi"/>
          <w:color w:val="000000"/>
          <w:sz w:val="20"/>
          <w:szCs w:val="20"/>
        </w:rPr>
        <w:lastRenderedPageBreak/>
        <w:t xml:space="preserve">zaměstnanec musí doručení do 15 dnů potvrdit, jinak je neúčinné; </w:t>
      </w:r>
    </w:p>
    <w:p w14:paraId="738A3D86" w14:textId="5DC2546F" w:rsidR="00CE3758" w:rsidRPr="00CE3758" w:rsidRDefault="00CE3758" w:rsidP="00CE375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E3758">
        <w:rPr>
          <w:rFonts w:cstheme="minorHAnsi"/>
          <w:color w:val="000000"/>
          <w:sz w:val="20"/>
          <w:szCs w:val="20"/>
        </w:rPr>
        <w:t xml:space="preserve">z rozhraní, jehož prostřednictvím bude doručován, musí být možné uložit a vytisknout. </w:t>
      </w:r>
    </w:p>
    <w:p w14:paraId="19673F3C" w14:textId="018AB70D" w:rsidR="00CE3758" w:rsidRDefault="00CE3758" w:rsidP="00CE37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577B7A" w14:textId="77777777" w:rsidR="00261E65" w:rsidRDefault="00261E65" w:rsidP="00261E65">
      <w:pPr>
        <w:pStyle w:val="Nadpis2"/>
      </w:pPr>
      <w:r>
        <w:t xml:space="preserve">Vyplácení mzdy </w:t>
      </w:r>
    </w:p>
    <w:p w14:paraId="0E28D762" w14:textId="77777777" w:rsidR="00261E65" w:rsidRDefault="00261E65" w:rsidP="00261E65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Zaměstnavatel po dohodě se zaměstnancem, který má objektivní vazbu na zahraničí, může mzdu, plat nebo jejich část vyplácet v cizí měně vedené na kurzovém lístku ČNB. </w:t>
      </w:r>
    </w:p>
    <w:p w14:paraId="4FDB78D5" w14:textId="77777777" w:rsidR="00261E65" w:rsidRDefault="00261E65" w:rsidP="00261E65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Otáčí se prioritizace způsobu výplaty mzdy bezhotovostně, nově se preferuje bezhotovostní výplata, pokud tomu nebrání objektivní překážky. </w:t>
      </w:r>
    </w:p>
    <w:p w14:paraId="3F5F370D" w14:textId="4C1F8D0B" w:rsidR="00CE3758" w:rsidRPr="00CE3758" w:rsidRDefault="00CE3758" w:rsidP="009B7091">
      <w:pPr>
        <w:pStyle w:val="Nadpis2"/>
        <w:spacing w:line="276" w:lineRule="auto"/>
      </w:pPr>
      <w:r w:rsidRPr="00CE3758">
        <w:t xml:space="preserve">Mlčenlivost o mzdových podmínkách </w:t>
      </w:r>
    </w:p>
    <w:p w14:paraId="42CFC2EB" w14:textId="52277BF4" w:rsidR="00CE3758" w:rsidRPr="00261E65" w:rsidRDefault="00CE3758" w:rsidP="00CE37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E3758">
        <w:rPr>
          <w:rFonts w:ascii="Calibri" w:hAnsi="Calibri" w:cs="Calibri"/>
          <w:color w:val="000000"/>
        </w:rPr>
        <w:t xml:space="preserve">Výslovně se zakazuje sjednávání doložek mlčenlivosti ohledně výše a struktury odměňování daného zaměstnance v pracovněprávní dokumentaci, a to nejen pod sankcí neplatnosti, ale i pokuty od inspekce práce. </w:t>
      </w:r>
    </w:p>
    <w:p w14:paraId="17827BFC" w14:textId="41604A08" w:rsidR="00261E65" w:rsidRPr="00CE3758" w:rsidRDefault="00261E65" w:rsidP="009B7091">
      <w:pPr>
        <w:pStyle w:val="Nadpis2"/>
        <w:spacing w:line="276" w:lineRule="auto"/>
      </w:pPr>
      <w:r w:rsidRPr="00CE3758">
        <w:t xml:space="preserve">Pracovnělékařské prohlídky a programy podpory zdraví </w:t>
      </w:r>
    </w:p>
    <w:p w14:paraId="03DB29B3" w14:textId="77777777" w:rsidR="00261E65" w:rsidRPr="00CE3758" w:rsidRDefault="00261E65" w:rsidP="00261E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E3758">
        <w:rPr>
          <w:rFonts w:ascii="Calibri" w:hAnsi="Calibri" w:cs="Calibri"/>
          <w:color w:val="000000"/>
        </w:rPr>
        <w:t xml:space="preserve">Ruší se povinnost vstupní lékařské prohlídky pro práce v 1. kategorii: (kategorizace prací) i pro dohody o provedení práce (DPP) a dohody o pracovní činnosti (DPČ). </w:t>
      </w:r>
    </w:p>
    <w:p w14:paraId="09DB5F85" w14:textId="77777777" w:rsidR="00261E65" w:rsidRPr="00CE3758" w:rsidRDefault="00261E65" w:rsidP="00261E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E3758">
        <w:rPr>
          <w:rFonts w:ascii="Calibri" w:hAnsi="Calibri" w:cs="Calibri"/>
          <w:color w:val="000000"/>
        </w:rPr>
        <w:t xml:space="preserve">Zůstává povinnost vstupní lékařské prohlídky pro práce zařazené do 2., 3. a 4. kategorie. </w:t>
      </w:r>
    </w:p>
    <w:p w14:paraId="3FEC1A3A" w14:textId="77777777" w:rsidR="00261E65" w:rsidRPr="00CE3758" w:rsidRDefault="00261E65" w:rsidP="00261E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E3758">
        <w:rPr>
          <w:rFonts w:ascii="Calibri" w:hAnsi="Calibri" w:cs="Calibri"/>
          <w:color w:val="000000"/>
        </w:rPr>
        <w:t xml:space="preserve">Mladiství ve věku do 18 let musí vždy absolvovat vstupní lékařskou prohlídku, bez ohledu na zařazení do kategorie a typ pracovního vztahu (DPP, DPČ). </w:t>
      </w:r>
    </w:p>
    <w:p w14:paraId="5FB703A7" w14:textId="77777777" w:rsidR="00261E65" w:rsidRPr="00CE3758" w:rsidRDefault="00261E65" w:rsidP="00261E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E3758">
        <w:rPr>
          <w:rFonts w:ascii="Calibri" w:hAnsi="Calibri" w:cs="Calibri"/>
          <w:color w:val="000000"/>
        </w:rPr>
        <w:t>Zaměstnavatelé a zaměstnanci si stále mohou prohlídku vyžádat dobrovolně</w:t>
      </w:r>
    </w:p>
    <w:p w14:paraId="0B13FCAE" w14:textId="77777777" w:rsidR="00261E65" w:rsidRPr="00CE3758" w:rsidRDefault="00261E65" w:rsidP="00261E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E3758">
        <w:rPr>
          <w:rFonts w:ascii="Calibri" w:hAnsi="Calibri" w:cs="Calibri"/>
          <w:color w:val="000000"/>
        </w:rPr>
        <w:t xml:space="preserve">Zavádí se dobrovolné tzv. programy podpory zdraví. </w:t>
      </w:r>
    </w:p>
    <w:p w14:paraId="3E57D6B6" w14:textId="77777777" w:rsidR="00261E65" w:rsidRDefault="00261E65" w:rsidP="00CE3758">
      <w:pPr>
        <w:pStyle w:val="Nadpis2"/>
      </w:pPr>
      <w:r w:rsidRPr="00261E65">
        <w:t>Zlepšení postavení rodičů</w:t>
      </w:r>
    </w:p>
    <w:p w14:paraId="2F112CF2" w14:textId="77777777" w:rsidR="00261E65" w:rsidRDefault="00261E65" w:rsidP="00261E65">
      <w:pPr>
        <w:pStyle w:val="Odstavecseseznamem"/>
        <w:numPr>
          <w:ilvl w:val="0"/>
          <w:numId w:val="16"/>
        </w:numPr>
      </w:pPr>
      <w:r w:rsidRPr="00261E65">
        <w:t xml:space="preserve">Garance stejného pracovního místa (stejné pracoviště a práce) platí nově i pro pracovníky, kteří se vrací z rodičovské dovolené, a to do 2 let věku dítěte. </w:t>
      </w:r>
    </w:p>
    <w:p w14:paraId="7AC986F3" w14:textId="77777777" w:rsidR="009B7091" w:rsidRDefault="00261E65" w:rsidP="009336C6">
      <w:pPr>
        <w:pStyle w:val="Odstavecseseznamem"/>
        <w:numPr>
          <w:ilvl w:val="0"/>
          <w:numId w:val="16"/>
        </w:numPr>
        <w:spacing w:after="0" w:line="276" w:lineRule="auto"/>
      </w:pPr>
      <w:r w:rsidRPr="00261E65">
        <w:t>Zaměstnanec může vykonávat u stejného či jiného zaměstnavatele i po dobu rodičovské dovolené stejnou práci, a to na základě dohody o provedení práce nebo dohody o pracovní činnosti.</w:t>
      </w:r>
    </w:p>
    <w:p w14:paraId="37757901" w14:textId="0FF3106B" w:rsidR="00CE3758" w:rsidRPr="00CE3758" w:rsidRDefault="00CE3758" w:rsidP="009B7091">
      <w:pPr>
        <w:pStyle w:val="Nadpis2"/>
        <w:spacing w:before="0"/>
      </w:pPr>
      <w:r w:rsidRPr="00CE3758">
        <w:t xml:space="preserve">Pracovní podmínky vybraných skupin </w:t>
      </w:r>
    </w:p>
    <w:p w14:paraId="4D45991E" w14:textId="77777777" w:rsidR="00261E65" w:rsidRDefault="00CE3758" w:rsidP="00E374F3">
      <w:pPr>
        <w:pStyle w:val="Odstavecseseznamem"/>
        <w:numPr>
          <w:ilvl w:val="0"/>
          <w:numId w:val="3"/>
        </w:numPr>
      </w:pPr>
      <w:r w:rsidRPr="00261E65">
        <w:t xml:space="preserve">V rámci úpravy nutného souhlasu s pracovní cestou u zaměstnance pečujícího o dítě, pokud se tato má uskutečnit mimo obvod obce pracoviště / bydliště, se věková hranice dítěte posouvá na 9 let věku (nyní 8 let věku). </w:t>
      </w:r>
    </w:p>
    <w:p w14:paraId="55BAE70A" w14:textId="2710DEF1" w:rsidR="00CE3758" w:rsidRPr="00261E65" w:rsidRDefault="00CE3758" w:rsidP="009336C6">
      <w:pPr>
        <w:pStyle w:val="Odstavecseseznamem"/>
        <w:numPr>
          <w:ilvl w:val="0"/>
          <w:numId w:val="3"/>
        </w:numPr>
        <w:spacing w:after="0"/>
      </w:pPr>
      <w:r w:rsidRPr="00261E65">
        <w:t xml:space="preserve">Dochází i k rozšíření práv registrovaných partnerů, kteří budou mít stejná práva při přechodu mzdových nároků v případě úmrtí zaměstnance. </w:t>
      </w:r>
    </w:p>
    <w:p w14:paraId="7E3E52C8" w14:textId="4AE967DC" w:rsidR="00CE3758" w:rsidRDefault="00CE3758" w:rsidP="009336C6">
      <w:pPr>
        <w:pStyle w:val="Nadpis2"/>
      </w:pPr>
      <w:r>
        <w:t xml:space="preserve">Práce </w:t>
      </w:r>
      <w:r w:rsidRPr="009336C6">
        <w:t>mladistvých</w:t>
      </w:r>
      <w:r>
        <w:t xml:space="preserve"> v létě </w:t>
      </w:r>
    </w:p>
    <w:p w14:paraId="37FAAEEE" w14:textId="461F88D6" w:rsidR="00CE3758" w:rsidRDefault="00CE3758" w:rsidP="00CE3758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Během letních prázdnin mohou 14letí a starší mladiství bez ukončené povinné školní docházky vykonávat lehké práce, pokud daná práce neohrozí jejich zdraví, vzdělávání ani morální rozvoj s limitem 7 hodin denně / 35 hodin týdně. </w:t>
      </w:r>
    </w:p>
    <w:p w14:paraId="7961411D" w14:textId="42D14844" w:rsidR="00CE3758" w:rsidRDefault="00CE3758" w:rsidP="009336C6">
      <w:pPr>
        <w:pStyle w:val="Odstavecseseznamem"/>
        <w:numPr>
          <w:ilvl w:val="0"/>
          <w:numId w:val="3"/>
        </w:numPr>
        <w:spacing w:after="0"/>
      </w:pPr>
      <w:r>
        <w:t>Souhlas zákonných zástupců je stále vyžadován.</w:t>
      </w:r>
    </w:p>
    <w:p w14:paraId="22B41C15" w14:textId="77777777" w:rsidR="00CE3758" w:rsidRPr="009B7091" w:rsidRDefault="00CE3758" w:rsidP="009B7091">
      <w:pPr>
        <w:pStyle w:val="Nadpis2"/>
      </w:pPr>
      <w:r w:rsidRPr="009B7091">
        <w:t xml:space="preserve">Změny v kompenzaci pracovních úrazů či nemoci z povolání při ukončení pracovního poměru </w:t>
      </w:r>
    </w:p>
    <w:p w14:paraId="72A623AC" w14:textId="77777777" w:rsidR="00CE3758" w:rsidRDefault="00CE3758" w:rsidP="00CE375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Zavádí se nový druh jednorázové náhrady nemajetkové újmy při ukončení pracovního poměru z důvodu pracovního úrazu či nemoci z povolání (nebo jejím ohrožení), která bude rovněž 12 průměrných měsíčních výdělků zaměstnance. </w:t>
      </w:r>
    </w:p>
    <w:p w14:paraId="6AB379B7" w14:textId="77777777" w:rsidR="00CE3758" w:rsidRDefault="00CE3758" w:rsidP="00CE375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Upravuje se i mechanismus vzniku nároku na toto plnění ve prospěch zaměstnavatele. </w:t>
      </w:r>
    </w:p>
    <w:p w14:paraId="2B6639CD" w14:textId="77777777" w:rsidR="009B7091" w:rsidRDefault="009B7091" w:rsidP="00CE3758">
      <w:pPr>
        <w:rPr>
          <w:color w:val="0462C1"/>
        </w:rPr>
      </w:pPr>
    </w:p>
    <w:p w14:paraId="3CB4EECC" w14:textId="54160B94" w:rsidR="00CE3758" w:rsidRDefault="00F05903" w:rsidP="00CE3758">
      <w:pPr>
        <w:rPr>
          <w:color w:val="0462C1"/>
        </w:rPr>
      </w:pPr>
      <w:hyperlink r:id="rId7" w:history="1">
        <w:r w:rsidR="009B7091" w:rsidRPr="00FB3922">
          <w:rPr>
            <w:rStyle w:val="Hypertextovodkaz"/>
          </w:rPr>
          <w:t>https://www.mpsv.cz/jake-zmeny-prinasi-flexibilni-novela-zakoniku-prace-</w:t>
        </w:r>
      </w:hyperlink>
    </w:p>
    <w:p w14:paraId="43E8EDEB" w14:textId="77777777" w:rsidR="00CE3758" w:rsidRDefault="00CE3758" w:rsidP="00CE3758"/>
    <w:sectPr w:rsidR="00CE37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28CA" w14:textId="77777777" w:rsidR="00F05903" w:rsidRDefault="00F05903" w:rsidP="00F738CC">
      <w:pPr>
        <w:spacing w:after="0" w:line="240" w:lineRule="auto"/>
      </w:pPr>
      <w:r>
        <w:separator/>
      </w:r>
    </w:p>
  </w:endnote>
  <w:endnote w:type="continuationSeparator" w:id="0">
    <w:p w14:paraId="0C0F7C68" w14:textId="77777777" w:rsidR="00F05903" w:rsidRDefault="00F05903" w:rsidP="00F7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F54D" w14:textId="77777777" w:rsidR="00F05903" w:rsidRDefault="00F05903" w:rsidP="00F738CC">
      <w:pPr>
        <w:spacing w:after="0" w:line="240" w:lineRule="auto"/>
      </w:pPr>
      <w:r>
        <w:separator/>
      </w:r>
    </w:p>
  </w:footnote>
  <w:footnote w:type="continuationSeparator" w:id="0">
    <w:p w14:paraId="464B80D4" w14:textId="77777777" w:rsidR="00F05903" w:rsidRDefault="00F05903" w:rsidP="00F7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F738CC" w14:paraId="01010D07" w14:textId="77777777" w:rsidTr="005E36A6">
      <w:trPr>
        <w:trHeight w:hRule="exact" w:val="1800"/>
      </w:trPr>
      <w:tc>
        <w:tcPr>
          <w:tcW w:w="9072" w:type="dxa"/>
        </w:tcPr>
        <w:p w14:paraId="4D94F4D3" w14:textId="77777777" w:rsidR="00F738CC" w:rsidRDefault="00F738CC" w:rsidP="00F738CC">
          <w:pPr>
            <w:pStyle w:val="Nzev"/>
            <w:jc w:val="both"/>
            <w:rPr>
              <w:color w:val="595959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205D8349" wp14:editId="3E8254C6">
                <wp:simplePos x="0" y="0"/>
                <wp:positionH relativeFrom="page">
                  <wp:posOffset>13335</wp:posOffset>
                </wp:positionH>
                <wp:positionV relativeFrom="paragraph">
                  <wp:posOffset>34925</wp:posOffset>
                </wp:positionV>
                <wp:extent cx="1524000" cy="1032510"/>
                <wp:effectExtent l="0" t="0" r="0" b="0"/>
                <wp:wrapNone/>
                <wp:docPr id="3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032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595959"/>
            </w:rPr>
            <w:t xml:space="preserve">                                 </w:t>
          </w:r>
          <w:r>
            <w:rPr>
              <w:noProof/>
              <w:color w:val="595959"/>
            </w:rPr>
            <w:drawing>
              <wp:inline distT="0" distB="0" distL="0" distR="0" wp14:anchorId="28FAF953" wp14:editId="3F3BA897">
                <wp:extent cx="2155825" cy="677545"/>
                <wp:effectExtent l="0" t="0" r="0" b="0"/>
                <wp:docPr id="4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82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595959"/>
            </w:rPr>
            <w:t xml:space="preserve">   </w:t>
          </w:r>
        </w:p>
        <w:p w14:paraId="6681149F" w14:textId="77777777" w:rsidR="00F738CC" w:rsidRDefault="00F738CC" w:rsidP="00F738CC">
          <w:pPr>
            <w:pStyle w:val="Nzev"/>
            <w:jc w:val="both"/>
            <w:rPr>
              <w:color w:val="595959"/>
            </w:rPr>
          </w:pPr>
          <w:r>
            <w:rPr>
              <w:color w:val="595959"/>
            </w:rPr>
            <w:t xml:space="preserve">            </w:t>
          </w:r>
        </w:p>
      </w:tc>
    </w:tr>
  </w:tbl>
  <w:p w14:paraId="095C9639" w14:textId="77777777" w:rsidR="00F738CC" w:rsidRDefault="00F73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DDC"/>
    <w:multiLevelType w:val="hybridMultilevel"/>
    <w:tmpl w:val="044AF0DA"/>
    <w:lvl w:ilvl="0" w:tplc="95DA3A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2F71"/>
    <w:multiLevelType w:val="hybridMultilevel"/>
    <w:tmpl w:val="7666811A"/>
    <w:lvl w:ilvl="0" w:tplc="95DA3A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6B53"/>
    <w:multiLevelType w:val="hybridMultilevel"/>
    <w:tmpl w:val="B3681734"/>
    <w:lvl w:ilvl="0" w:tplc="95DA3A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54CE"/>
    <w:multiLevelType w:val="hybridMultilevel"/>
    <w:tmpl w:val="4F2A777C"/>
    <w:lvl w:ilvl="0" w:tplc="81BCB2CC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AC6FDE"/>
    <w:multiLevelType w:val="hybridMultilevel"/>
    <w:tmpl w:val="E662E46C"/>
    <w:lvl w:ilvl="0" w:tplc="95DA3AA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E4CED"/>
    <w:multiLevelType w:val="hybridMultilevel"/>
    <w:tmpl w:val="3BCC6A36"/>
    <w:lvl w:ilvl="0" w:tplc="95DA3AA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2705EC"/>
    <w:multiLevelType w:val="hybridMultilevel"/>
    <w:tmpl w:val="30C20E02"/>
    <w:lvl w:ilvl="0" w:tplc="95DA3AA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7115D9"/>
    <w:multiLevelType w:val="hybridMultilevel"/>
    <w:tmpl w:val="CD2A6994"/>
    <w:lvl w:ilvl="0" w:tplc="95DA3A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61C4"/>
    <w:multiLevelType w:val="hybridMultilevel"/>
    <w:tmpl w:val="C1BA8BCA"/>
    <w:lvl w:ilvl="0" w:tplc="95DA3A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2780"/>
    <w:multiLevelType w:val="hybridMultilevel"/>
    <w:tmpl w:val="21E015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4C6A04"/>
    <w:multiLevelType w:val="hybridMultilevel"/>
    <w:tmpl w:val="CF825EB4"/>
    <w:lvl w:ilvl="0" w:tplc="81BCB2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B2B83"/>
    <w:multiLevelType w:val="hybridMultilevel"/>
    <w:tmpl w:val="10A019EA"/>
    <w:lvl w:ilvl="0" w:tplc="95DA3A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D010C"/>
    <w:multiLevelType w:val="hybridMultilevel"/>
    <w:tmpl w:val="B0F0694C"/>
    <w:lvl w:ilvl="0" w:tplc="95DA3A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D3B93"/>
    <w:multiLevelType w:val="hybridMultilevel"/>
    <w:tmpl w:val="192E74B4"/>
    <w:lvl w:ilvl="0" w:tplc="95DA3AA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DF6E23"/>
    <w:multiLevelType w:val="hybridMultilevel"/>
    <w:tmpl w:val="55923B96"/>
    <w:lvl w:ilvl="0" w:tplc="95DA3AA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5A41B9"/>
    <w:multiLevelType w:val="hybridMultilevel"/>
    <w:tmpl w:val="200CAEFE"/>
    <w:lvl w:ilvl="0" w:tplc="95DA3AA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14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58"/>
    <w:rsid w:val="00261E65"/>
    <w:rsid w:val="009336C6"/>
    <w:rsid w:val="009B7091"/>
    <w:rsid w:val="00CC7014"/>
    <w:rsid w:val="00CE3758"/>
    <w:rsid w:val="00F05903"/>
    <w:rsid w:val="00F7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8910"/>
  <w15:chartTrackingRefBased/>
  <w15:docId w15:val="{6B9869DB-2422-4770-98EA-1D46FED9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3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3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3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37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E37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375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E37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E3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E37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37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6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1E6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8CC"/>
  </w:style>
  <w:style w:type="paragraph" w:styleId="Zpat">
    <w:name w:val="footer"/>
    <w:basedOn w:val="Normln"/>
    <w:link w:val="ZpatChar"/>
    <w:uiPriority w:val="99"/>
    <w:unhideWhenUsed/>
    <w:rsid w:val="00F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8CC"/>
  </w:style>
  <w:style w:type="character" w:customStyle="1" w:styleId="NzevChar">
    <w:name w:val="Název Char"/>
    <w:basedOn w:val="Standardnpsmoodstavce"/>
    <w:link w:val="Nzev"/>
    <w:uiPriority w:val="1"/>
    <w:qFormat/>
    <w:rsid w:val="00F738CC"/>
    <w:rPr>
      <w:rFonts w:ascii="Georgia" w:eastAsiaTheme="majorEastAsia" w:hAnsi="Georgia" w:cstheme="majorBidi"/>
      <w:caps/>
      <w:kern w:val="2"/>
      <w:sz w:val="70"/>
      <w:szCs w:val="56"/>
    </w:rPr>
  </w:style>
  <w:style w:type="paragraph" w:styleId="Nzev">
    <w:name w:val="Title"/>
    <w:basedOn w:val="Normln"/>
    <w:link w:val="NzevChar"/>
    <w:uiPriority w:val="1"/>
    <w:qFormat/>
    <w:rsid w:val="00F738CC"/>
    <w:pPr>
      <w:suppressAutoHyphens/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kern w:val="2"/>
      <w:sz w:val="70"/>
      <w:szCs w:val="56"/>
    </w:rPr>
  </w:style>
  <w:style w:type="character" w:customStyle="1" w:styleId="NzevChar1">
    <w:name w:val="Název Char1"/>
    <w:basedOn w:val="Standardnpsmoodstavce"/>
    <w:uiPriority w:val="10"/>
    <w:rsid w:val="00F7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F738CC"/>
    <w:pPr>
      <w:suppressAutoHyphens/>
      <w:spacing w:after="0" w:line="240" w:lineRule="auto"/>
    </w:pPr>
    <w:rPr>
      <w:color w:val="595959" w:themeColor="text1" w:themeTint="A6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psv.cz/jake-zmeny-prinasi-flexibilni-novela-zakoniku-prace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Karásková</dc:creator>
  <cp:keywords/>
  <dc:description/>
  <cp:lastModifiedBy>Lenka Kurucová</cp:lastModifiedBy>
  <cp:revision>2</cp:revision>
  <cp:lastPrinted>2025-06-17T07:03:00Z</cp:lastPrinted>
  <dcterms:created xsi:type="dcterms:W3CDTF">2025-06-24T08:22:00Z</dcterms:created>
  <dcterms:modified xsi:type="dcterms:W3CDTF">2025-06-24T08:22:00Z</dcterms:modified>
</cp:coreProperties>
</file>